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49" w:rsidRPr="00925E49" w:rsidRDefault="00925E4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5E49" w:rsidRPr="00925E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5E49" w:rsidRPr="00925E49" w:rsidRDefault="00925E49">
            <w:pPr>
              <w:pStyle w:val="ConsPlusNormal"/>
            </w:pPr>
            <w:r w:rsidRPr="00925E49">
              <w:t>29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5E49" w:rsidRPr="00925E49" w:rsidRDefault="00925E49">
            <w:pPr>
              <w:pStyle w:val="ConsPlusNormal"/>
              <w:jc w:val="right"/>
            </w:pPr>
            <w:r w:rsidRPr="00925E49">
              <w:t>N 221-ЗО</w:t>
            </w:r>
          </w:p>
        </w:tc>
      </w:tr>
    </w:tbl>
    <w:p w:rsidR="00925E49" w:rsidRPr="00925E49" w:rsidRDefault="00925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Title"/>
        <w:jc w:val="center"/>
      </w:pPr>
      <w:r w:rsidRPr="00925E49">
        <w:t>ЗАКОН</w:t>
      </w:r>
    </w:p>
    <w:p w:rsidR="00925E49" w:rsidRPr="00925E49" w:rsidRDefault="00925E49">
      <w:pPr>
        <w:pStyle w:val="ConsPlusTitle"/>
        <w:jc w:val="center"/>
      </w:pPr>
    </w:p>
    <w:p w:rsidR="00925E49" w:rsidRPr="00925E49" w:rsidRDefault="00925E49">
      <w:pPr>
        <w:pStyle w:val="ConsPlusTitle"/>
        <w:jc w:val="center"/>
      </w:pPr>
      <w:r w:rsidRPr="00925E49">
        <w:t>КИРОВСКОЙ ОБЛАСТИ</w:t>
      </w:r>
    </w:p>
    <w:p w:rsidR="00925E49" w:rsidRPr="00925E49" w:rsidRDefault="00925E49">
      <w:pPr>
        <w:pStyle w:val="ConsPlusTitle"/>
        <w:jc w:val="center"/>
      </w:pPr>
    </w:p>
    <w:p w:rsidR="00925E49" w:rsidRPr="00925E49" w:rsidRDefault="00925E49">
      <w:pPr>
        <w:pStyle w:val="ConsPlusTitle"/>
        <w:jc w:val="center"/>
      </w:pPr>
      <w:r w:rsidRPr="00925E49">
        <w:t>О ПАТЕНТНОЙ СИСТЕМЕ НАЛОГООБЛОЖЕНИЯ НА ТЕРРИТОРИИ</w:t>
      </w:r>
    </w:p>
    <w:p w:rsidR="00925E49" w:rsidRPr="00925E49" w:rsidRDefault="00925E49">
      <w:pPr>
        <w:pStyle w:val="ConsPlusTitle"/>
        <w:jc w:val="center"/>
      </w:pPr>
      <w:r w:rsidRPr="00925E49">
        <w:t>КИРОВСКОЙ ОБЛАСТИ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right"/>
      </w:pPr>
      <w:proofErr w:type="gramStart"/>
      <w:r w:rsidRPr="00925E49">
        <w:t>Принят</w:t>
      </w:r>
      <w:proofErr w:type="gramEnd"/>
    </w:p>
    <w:p w:rsidR="00925E49" w:rsidRPr="00925E49" w:rsidRDefault="00925E49">
      <w:pPr>
        <w:pStyle w:val="ConsPlusNormal"/>
        <w:jc w:val="right"/>
      </w:pPr>
      <w:r w:rsidRPr="00925E49">
        <w:t>Законодательным Собранием</w:t>
      </w:r>
    </w:p>
    <w:p w:rsidR="00925E49" w:rsidRPr="00925E49" w:rsidRDefault="00925E49">
      <w:pPr>
        <w:pStyle w:val="ConsPlusNormal"/>
        <w:jc w:val="right"/>
      </w:pPr>
      <w:r w:rsidRPr="00925E49">
        <w:t>Кировской области</w:t>
      </w:r>
    </w:p>
    <w:p w:rsidR="00925E49" w:rsidRPr="00925E49" w:rsidRDefault="00925E49">
      <w:pPr>
        <w:pStyle w:val="ConsPlusNormal"/>
        <w:jc w:val="right"/>
      </w:pPr>
      <w:r w:rsidRPr="00925E49">
        <w:t>29 ноября 2012 года</w:t>
      </w:r>
    </w:p>
    <w:p w:rsidR="00925E49" w:rsidRPr="00925E49" w:rsidRDefault="00D173CE">
      <w:pPr>
        <w:pStyle w:val="ConsPlusNormal"/>
        <w:jc w:val="center"/>
      </w:pPr>
      <w:r w:rsidRPr="00925E49">
        <w:t xml:space="preserve"> </w:t>
      </w:r>
      <w:proofErr w:type="gramStart"/>
      <w:r w:rsidR="00925E49" w:rsidRPr="00925E49">
        <w:t xml:space="preserve">(в ред. </w:t>
      </w:r>
      <w:proofErr w:type="gramEnd"/>
      <w:r w:rsidR="00925E49" w:rsidRPr="00925E49">
        <w:t>Законов Кировской области</w:t>
      </w:r>
      <w:r>
        <w:rPr>
          <w:lang w:val="en-US"/>
        </w:rPr>
        <w:t xml:space="preserve"> </w:t>
      </w:r>
      <w:bookmarkStart w:id="0" w:name="_GoBack"/>
      <w:bookmarkEnd w:id="0"/>
      <w:r w:rsidR="00925E49" w:rsidRPr="00925E49">
        <w:t xml:space="preserve">от 29.04.2013 </w:t>
      </w:r>
      <w:hyperlink r:id="rId5" w:history="1">
        <w:r w:rsidR="00925E49" w:rsidRPr="00925E49">
          <w:t>N 287-ЗО</w:t>
        </w:r>
      </w:hyperlink>
      <w:r w:rsidR="00925E49" w:rsidRPr="00925E49">
        <w:t xml:space="preserve">, от 18.06.2014 </w:t>
      </w:r>
      <w:hyperlink r:id="rId6" w:history="1">
        <w:r w:rsidR="00925E49" w:rsidRPr="00925E49">
          <w:t>N 415-ЗО</w:t>
        </w:r>
      </w:hyperlink>
      <w:r w:rsidR="00925E49" w:rsidRPr="00925E49">
        <w:t xml:space="preserve">, от 05.11.2015 </w:t>
      </w:r>
      <w:hyperlink r:id="rId7" w:history="1">
        <w:r w:rsidR="00925E49" w:rsidRPr="00925E49">
          <w:t>N 581-ЗО</w:t>
        </w:r>
      </w:hyperlink>
      <w:r w:rsidR="00925E49" w:rsidRPr="00925E49">
        <w:t>)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ind w:firstLine="540"/>
        <w:jc w:val="both"/>
      </w:pPr>
      <w:r w:rsidRPr="00925E49">
        <w:t>Статья 1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ind w:firstLine="540"/>
        <w:jc w:val="both"/>
      </w:pPr>
      <w:r w:rsidRPr="00925E49">
        <w:t xml:space="preserve">Настоящим Законом в соответствии с </w:t>
      </w:r>
      <w:hyperlink r:id="rId8" w:history="1">
        <w:r w:rsidRPr="00925E49">
          <w:t>пунктом 1 статьи 346.43</w:t>
        </w:r>
      </w:hyperlink>
      <w:r w:rsidRPr="00925E49">
        <w:t xml:space="preserve"> Налогового кодекса Российской Федерации вводится патентная система налогообложения на территории Кировской области.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ind w:firstLine="540"/>
        <w:jc w:val="both"/>
      </w:pPr>
      <w:r w:rsidRPr="00925E49">
        <w:t>Статья 2</w:t>
      </w:r>
    </w:p>
    <w:p w:rsidR="00925E49" w:rsidRPr="00925E49" w:rsidRDefault="00925E49">
      <w:pPr>
        <w:pStyle w:val="ConsPlusNormal"/>
        <w:ind w:firstLine="540"/>
        <w:jc w:val="both"/>
      </w:pPr>
      <w:r w:rsidRPr="00925E49">
        <w:t xml:space="preserve">(в ред. </w:t>
      </w:r>
      <w:hyperlink r:id="rId9" w:history="1">
        <w:r w:rsidRPr="00925E49">
          <w:t>Закона</w:t>
        </w:r>
      </w:hyperlink>
      <w:r w:rsidRPr="00925E49">
        <w:t xml:space="preserve"> Кировской области от 05.11.2015 N 581-ЗО)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ind w:firstLine="540"/>
        <w:jc w:val="both"/>
      </w:pPr>
      <w:r w:rsidRPr="00925E49">
        <w:t xml:space="preserve">1. Установить </w:t>
      </w:r>
      <w:hyperlink w:anchor="P52" w:history="1">
        <w:r w:rsidRPr="00925E49">
          <w:t>размеры</w:t>
        </w:r>
      </w:hyperlink>
      <w:r w:rsidRPr="00925E49"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к настоящему Закону.</w:t>
      </w:r>
    </w:p>
    <w:p w:rsidR="00925E49" w:rsidRPr="00925E49" w:rsidRDefault="00925E49">
      <w:pPr>
        <w:pStyle w:val="ConsPlusNormal"/>
        <w:ind w:firstLine="540"/>
        <w:jc w:val="both"/>
      </w:pPr>
      <w:r w:rsidRPr="00925E49">
        <w:t>2. Дифференцировать территорию Кировской области по территориям действия патентов по муниципальным образованиям: муниципальным районам, городским округам, городским и сельским поселениям.</w:t>
      </w:r>
    </w:p>
    <w:p w:rsidR="00925E49" w:rsidRPr="00925E49" w:rsidRDefault="00925E49">
      <w:pPr>
        <w:pStyle w:val="ConsPlusNormal"/>
        <w:ind w:firstLine="540"/>
        <w:jc w:val="both"/>
      </w:pPr>
      <w:r w:rsidRPr="00925E49">
        <w:t xml:space="preserve">Границы муниципальных образований Кировской области определяются в соответствии с </w:t>
      </w:r>
      <w:hyperlink r:id="rId10" w:history="1">
        <w:r w:rsidRPr="00925E49">
          <w:t>Законом</w:t>
        </w:r>
      </w:hyperlink>
      <w:r w:rsidRPr="00925E49">
        <w:t xml:space="preserve"> Кировской области от 7 декабря 2004 года N 284-ЗО "Об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поселения".</w:t>
      </w:r>
    </w:p>
    <w:p w:rsidR="00925E49" w:rsidRPr="00925E49" w:rsidRDefault="00925E49">
      <w:pPr>
        <w:pStyle w:val="ConsPlusNormal"/>
        <w:ind w:firstLine="540"/>
        <w:jc w:val="both"/>
      </w:pPr>
      <w:r w:rsidRPr="00925E49">
        <w:t xml:space="preserve">3. Размер потенциально возможного к получению индивидуальным предпринимателем годового дохода по каждому из видов предпринимательской деятельности, в отношении которых применяется патентная система налогообложения, указанных в </w:t>
      </w:r>
      <w:hyperlink w:anchor="P52" w:history="1">
        <w:r w:rsidRPr="00925E49">
          <w:t>приложении</w:t>
        </w:r>
      </w:hyperlink>
      <w:r w:rsidRPr="00925E49">
        <w:t xml:space="preserve"> к настоящему Закону, подлежит ежегодной индексации на коэффициент-дефлятор, установленный на соответствующий календарный год в целях реализации </w:t>
      </w:r>
      <w:hyperlink r:id="rId11" w:history="1">
        <w:r w:rsidRPr="00925E49">
          <w:t>пункта 9 статьи 346.43</w:t>
        </w:r>
      </w:hyperlink>
      <w:r w:rsidRPr="00925E49">
        <w:t xml:space="preserve"> Налогового кодекса Российской Федерации.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ind w:firstLine="540"/>
        <w:jc w:val="both"/>
      </w:pPr>
      <w:r w:rsidRPr="00925E49">
        <w:t>Статья 3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ind w:firstLine="540"/>
        <w:jc w:val="both"/>
      </w:pPr>
      <w:r w:rsidRPr="00925E49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налогу.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right"/>
      </w:pPr>
      <w:r w:rsidRPr="00925E49">
        <w:lastRenderedPageBreak/>
        <w:t>Губернатор</w:t>
      </w:r>
    </w:p>
    <w:p w:rsidR="00925E49" w:rsidRPr="00925E49" w:rsidRDefault="00925E49">
      <w:pPr>
        <w:pStyle w:val="ConsPlusNormal"/>
        <w:jc w:val="right"/>
      </w:pPr>
      <w:r w:rsidRPr="00925E49">
        <w:t>Кировской области</w:t>
      </w:r>
    </w:p>
    <w:p w:rsidR="00925E49" w:rsidRPr="00925E49" w:rsidRDefault="00925E49">
      <w:pPr>
        <w:pStyle w:val="ConsPlusNormal"/>
        <w:jc w:val="right"/>
      </w:pPr>
      <w:r w:rsidRPr="00925E49">
        <w:t>Н.Ю.БЕЛЫХ</w:t>
      </w:r>
    </w:p>
    <w:p w:rsidR="00925E49" w:rsidRPr="00925E49" w:rsidRDefault="00925E49">
      <w:pPr>
        <w:pStyle w:val="ConsPlusNormal"/>
      </w:pPr>
      <w:r w:rsidRPr="00925E49">
        <w:t>г. Киров</w:t>
      </w:r>
    </w:p>
    <w:p w:rsidR="00925E49" w:rsidRPr="00925E49" w:rsidRDefault="00925E49">
      <w:pPr>
        <w:pStyle w:val="ConsPlusNormal"/>
      </w:pPr>
      <w:r w:rsidRPr="00925E49">
        <w:t>29 ноября 2012 года</w:t>
      </w:r>
    </w:p>
    <w:p w:rsidR="00925E49" w:rsidRPr="00925E49" w:rsidRDefault="00925E49">
      <w:pPr>
        <w:pStyle w:val="ConsPlusNormal"/>
      </w:pPr>
      <w:r w:rsidRPr="00925E49">
        <w:t>N 221-ЗО</w:t>
      </w:r>
    </w:p>
    <w:p w:rsidR="00925E49" w:rsidRPr="00925E49" w:rsidRDefault="00925E49">
      <w:pPr>
        <w:sectPr w:rsidR="00925E49" w:rsidRPr="00925E49" w:rsidSect="007923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right"/>
      </w:pPr>
      <w:r w:rsidRPr="00925E49">
        <w:t>Приложение</w:t>
      </w:r>
    </w:p>
    <w:p w:rsidR="00925E49" w:rsidRPr="00925E49" w:rsidRDefault="00925E49">
      <w:pPr>
        <w:pStyle w:val="ConsPlusNormal"/>
        <w:jc w:val="right"/>
      </w:pPr>
      <w:r w:rsidRPr="00925E49">
        <w:t>к Закону</w:t>
      </w:r>
    </w:p>
    <w:p w:rsidR="00925E49" w:rsidRPr="00925E49" w:rsidRDefault="00925E49">
      <w:pPr>
        <w:pStyle w:val="ConsPlusNormal"/>
        <w:jc w:val="right"/>
      </w:pPr>
      <w:r w:rsidRPr="00925E49">
        <w:t>Кировской области</w:t>
      </w:r>
    </w:p>
    <w:p w:rsidR="00925E49" w:rsidRPr="00925E49" w:rsidRDefault="00925E49">
      <w:pPr>
        <w:pStyle w:val="ConsPlusNormal"/>
        <w:jc w:val="right"/>
      </w:pPr>
      <w:r w:rsidRPr="00925E49">
        <w:t>"О патентной системе налогообложения</w:t>
      </w:r>
    </w:p>
    <w:p w:rsidR="00925E49" w:rsidRPr="00925E49" w:rsidRDefault="00925E49">
      <w:pPr>
        <w:pStyle w:val="ConsPlusNormal"/>
        <w:jc w:val="right"/>
      </w:pPr>
      <w:r w:rsidRPr="00925E49">
        <w:t>на территории Кировской области"</w:t>
      </w: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Title"/>
        <w:jc w:val="center"/>
      </w:pPr>
      <w:bookmarkStart w:id="1" w:name="P52"/>
      <w:bookmarkEnd w:id="1"/>
      <w:r w:rsidRPr="00925E49">
        <w:t>РАЗМЕРЫ</w:t>
      </w:r>
    </w:p>
    <w:p w:rsidR="00925E49" w:rsidRPr="00925E49" w:rsidRDefault="00925E49">
      <w:pPr>
        <w:pStyle w:val="ConsPlusTitle"/>
        <w:jc w:val="center"/>
      </w:pPr>
      <w:r w:rsidRPr="00925E49">
        <w:t xml:space="preserve">ПОТЕНЦИАЛЬНО </w:t>
      </w:r>
      <w:proofErr w:type="gramStart"/>
      <w:r w:rsidRPr="00925E49">
        <w:t>ВОЗМОЖНОГО</w:t>
      </w:r>
      <w:proofErr w:type="gramEnd"/>
      <w:r w:rsidRPr="00925E49">
        <w:t xml:space="preserve"> К ПОЛУЧЕНИЮ</w:t>
      </w:r>
    </w:p>
    <w:p w:rsidR="00925E49" w:rsidRPr="00925E49" w:rsidRDefault="00925E49">
      <w:pPr>
        <w:pStyle w:val="ConsPlusTitle"/>
        <w:jc w:val="center"/>
      </w:pPr>
      <w:r w:rsidRPr="00925E49">
        <w:t>ИНДИВИДУАЛЬНЫМ ПРЕДПРИНИМАТЕЛЕМ ГОДОВОГО ДОХОДА ПО ВИДАМ</w:t>
      </w:r>
    </w:p>
    <w:p w:rsidR="00925E49" w:rsidRPr="00925E49" w:rsidRDefault="00925E49">
      <w:pPr>
        <w:pStyle w:val="ConsPlusTitle"/>
        <w:jc w:val="center"/>
      </w:pPr>
      <w:r w:rsidRPr="00925E49">
        <w:t>ПРЕДПРИНИМАТЕЛЬСКОЙ ДЕЯТЕЛЬНОСТИ, В ОТНОШЕНИИ КОТОРЫХ</w:t>
      </w:r>
    </w:p>
    <w:p w:rsidR="00925E49" w:rsidRPr="00925E49" w:rsidRDefault="00925E49">
      <w:pPr>
        <w:pStyle w:val="ConsPlusTitle"/>
        <w:jc w:val="center"/>
      </w:pPr>
      <w:r w:rsidRPr="00925E49">
        <w:t>ПРИМЕНЯЕТСЯ ПАТЕНТНАЯ СИСТЕМА НАЛОГООБЛОЖЕНИЯ</w:t>
      </w:r>
    </w:p>
    <w:p w:rsidR="00925E49" w:rsidRPr="00925E49" w:rsidRDefault="00925E49">
      <w:pPr>
        <w:pStyle w:val="ConsPlusNormal"/>
        <w:jc w:val="center"/>
      </w:pPr>
      <w:r w:rsidRPr="00925E49">
        <w:t>Список изменяющих документов</w:t>
      </w:r>
    </w:p>
    <w:p w:rsidR="00925E49" w:rsidRPr="00925E49" w:rsidRDefault="00925E49">
      <w:pPr>
        <w:pStyle w:val="ConsPlusNormal"/>
        <w:jc w:val="center"/>
      </w:pPr>
      <w:r w:rsidRPr="00925E49">
        <w:t xml:space="preserve">(в ред. </w:t>
      </w:r>
      <w:hyperlink r:id="rId12" w:history="1">
        <w:r w:rsidRPr="00925E49">
          <w:t>Закона</w:t>
        </w:r>
      </w:hyperlink>
      <w:r w:rsidRPr="00925E49">
        <w:t xml:space="preserve"> Кировской области от 05.11.2015 N 581-ЗО)</w:t>
      </w:r>
    </w:p>
    <w:p w:rsidR="00925E49" w:rsidRPr="00925E49" w:rsidRDefault="00925E4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531"/>
        <w:gridCol w:w="1531"/>
        <w:gridCol w:w="1531"/>
        <w:gridCol w:w="3685"/>
        <w:gridCol w:w="1531"/>
      </w:tblGrid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 xml:space="preserve">N </w:t>
            </w:r>
            <w:proofErr w:type="gramStart"/>
            <w:r w:rsidRPr="00925E49">
              <w:t>п</w:t>
            </w:r>
            <w:proofErr w:type="gramEnd"/>
            <w:r w:rsidRPr="00925E49">
              <w:t>/п</w:t>
            </w:r>
          </w:p>
        </w:tc>
        <w:tc>
          <w:tcPr>
            <w:tcW w:w="3288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Вид предпринимательской деятельности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Размер потенциально возможного к получению годового дохода (руб.)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  <w:vMerge/>
          </w:tcPr>
          <w:p w:rsidR="00925E49" w:rsidRPr="00925E49" w:rsidRDefault="00925E49"/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Городской округ "Город Киров"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Городской округ "Город Кирово-Чепецк"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 xml:space="preserve">Городской округ "Город Вятские Поляны", городской округ "Город Слободской", </w:t>
            </w:r>
            <w:proofErr w:type="spellStart"/>
            <w:r w:rsidRPr="00925E49">
              <w:t>Омутнинский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Оричевский</w:t>
            </w:r>
            <w:proofErr w:type="spellEnd"/>
            <w:r w:rsidRPr="00925E49">
              <w:t xml:space="preserve"> </w:t>
            </w:r>
            <w:r w:rsidRPr="00925E49">
              <w:lastRenderedPageBreak/>
              <w:t>муниципальный район, Слободской муниципальный район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proofErr w:type="spellStart"/>
            <w:proofErr w:type="gramStart"/>
            <w:r w:rsidRPr="00925E49">
              <w:lastRenderedPageBreak/>
              <w:t>Афанасьевский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Белохолуницкий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Белохолуницкое</w:t>
            </w:r>
            <w:proofErr w:type="spellEnd"/>
            <w:r w:rsidRPr="00925E49">
              <w:t xml:space="preserve"> городское поселение, Верхнекамский муниципальный район, городской округ "Город Котельнич", </w:t>
            </w:r>
            <w:proofErr w:type="spellStart"/>
            <w:r w:rsidRPr="00925E49">
              <w:t>Вятскополянский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Даровской</w:t>
            </w:r>
            <w:proofErr w:type="spellEnd"/>
            <w:r w:rsidRPr="00925E49">
              <w:t xml:space="preserve"> муниципальный район, Зуевский муниципальный район, Зуевское городское поселение, </w:t>
            </w:r>
            <w:proofErr w:type="spellStart"/>
            <w:r w:rsidRPr="00925E49">
              <w:t>Кильмезский</w:t>
            </w:r>
            <w:proofErr w:type="spellEnd"/>
            <w:r w:rsidRPr="00925E49">
              <w:t xml:space="preserve"> </w:t>
            </w:r>
            <w:r w:rsidRPr="00925E49">
              <w:lastRenderedPageBreak/>
              <w:t xml:space="preserve">муниципальный район, Кирово-Чепецкий муниципальный район, </w:t>
            </w:r>
            <w:proofErr w:type="spellStart"/>
            <w:r w:rsidRPr="00925E49">
              <w:t>Кирсинское</w:t>
            </w:r>
            <w:proofErr w:type="spellEnd"/>
            <w:r w:rsidRPr="00925E49">
              <w:t xml:space="preserve"> городское поселение, </w:t>
            </w:r>
            <w:proofErr w:type="spellStart"/>
            <w:r w:rsidRPr="00925E49">
              <w:t>Котельничский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Куменский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Лузский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Лузское</w:t>
            </w:r>
            <w:proofErr w:type="spellEnd"/>
            <w:r w:rsidRPr="00925E49">
              <w:t xml:space="preserve"> городское поселение, </w:t>
            </w:r>
            <w:proofErr w:type="spellStart"/>
            <w:r w:rsidRPr="00925E49">
              <w:t>Малмыжский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Мурашинский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Нолинский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Омутнинское</w:t>
            </w:r>
            <w:proofErr w:type="spellEnd"/>
            <w:r w:rsidRPr="00925E49">
              <w:t xml:space="preserve"> городское</w:t>
            </w:r>
            <w:proofErr w:type="gramEnd"/>
            <w:r w:rsidRPr="00925E49">
              <w:t xml:space="preserve"> поселение, </w:t>
            </w:r>
            <w:proofErr w:type="spellStart"/>
            <w:r w:rsidRPr="00925E49">
              <w:t>Опаринский</w:t>
            </w:r>
            <w:proofErr w:type="spellEnd"/>
            <w:r w:rsidRPr="00925E49">
              <w:t xml:space="preserve"> муниципальный район, Орловский муниципальный район, </w:t>
            </w:r>
            <w:proofErr w:type="spellStart"/>
            <w:r w:rsidRPr="00925E49">
              <w:t>Пижанский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Подосиновский</w:t>
            </w:r>
            <w:proofErr w:type="spellEnd"/>
            <w:r w:rsidRPr="00925E49">
              <w:t xml:space="preserve"> муниципальный район, Советский муниципальный район, Советское городское поселение, Сосновское городское поселение, </w:t>
            </w:r>
            <w:proofErr w:type="spellStart"/>
            <w:r w:rsidRPr="00925E49">
              <w:t>Уржумский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Уржумское</w:t>
            </w:r>
            <w:proofErr w:type="spellEnd"/>
            <w:r w:rsidRPr="00925E49">
              <w:t xml:space="preserve"> городское поселение, </w:t>
            </w:r>
            <w:proofErr w:type="spellStart"/>
            <w:r w:rsidRPr="00925E49">
              <w:t>Юрьянский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Яранский</w:t>
            </w:r>
            <w:proofErr w:type="spellEnd"/>
            <w:r w:rsidRPr="00925E49">
              <w:t xml:space="preserve"> муниципальный район, </w:t>
            </w:r>
            <w:proofErr w:type="spellStart"/>
            <w:r w:rsidRPr="00925E49">
              <w:t>Яранское</w:t>
            </w:r>
            <w:proofErr w:type="spellEnd"/>
            <w:r w:rsidRPr="00925E49">
              <w:t xml:space="preserve"> городское поселение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Прочие муниципальные районы, городские округа, городские и сельские поселения</w:t>
            </w:r>
          </w:p>
        </w:tc>
      </w:tr>
      <w:tr w:rsidR="00925E49" w:rsidRPr="00925E49">
        <w:tc>
          <w:tcPr>
            <w:tcW w:w="510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1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Ремонт и пошив швейных, </w:t>
            </w:r>
            <w:r w:rsidRPr="00925E49">
              <w:lastRenderedPageBreak/>
              <w:t>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Ремонт, чистка, окраска и пошив обуви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Парикмахерские и косметические услуги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бань и душевых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1 до 4 наемных работников </w:t>
            </w:r>
            <w:r w:rsidRPr="00925E49">
              <w:lastRenderedPageBreak/>
              <w:t>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333 300,00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299 970,00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266 640,00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233 310,00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166 650,00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666 700,00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533 360,00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466 690,00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333 350,00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соляриев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169 400,00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152 460,00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135 520,00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118 580,00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338 900,00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305 010,00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271 120,00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237 230,00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169 450,00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508 300,00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457 470,00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406 640,00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355 810,00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254 150,00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Химическая чистка, крашение и услуги прачечных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Ремонт и техническое обслуживание бытовой радиоэлектронной аппаратуры, бытовых машин и бытовых приборов, часов, </w:t>
            </w:r>
            <w:r w:rsidRPr="00925E49">
              <w:lastRenderedPageBreak/>
              <w:t>ремонт и изготовление металлоизделий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143 100,00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128 790,00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114 480,00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100 170,00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71 550,00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Ремонт мебели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10 до 15 наемных </w:t>
            </w:r>
            <w:r w:rsidRPr="00925E49">
              <w:lastRenderedPageBreak/>
              <w:t>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10.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Изготовление мебели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240 000,00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675 000,00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фотоателье, фот</w:t>
            </w:r>
            <w:proofErr w:type="gramStart"/>
            <w:r w:rsidRPr="00925E49">
              <w:t>о-</w:t>
            </w:r>
            <w:proofErr w:type="gramEnd"/>
            <w:r w:rsidRPr="00925E49">
              <w:t xml:space="preserve"> и кинолабораторий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Техническое обслуживание и ремонт автотранспортных и </w:t>
            </w:r>
            <w:proofErr w:type="spellStart"/>
            <w:r w:rsidRPr="00925E49">
              <w:t>мототранспортных</w:t>
            </w:r>
            <w:proofErr w:type="spellEnd"/>
            <w:r w:rsidRPr="00925E49">
              <w:t xml:space="preserve"> средств, машин и оборудования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301 200,00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271 080,00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240 960,00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210 840,00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150 600,00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843 750,00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656 250,00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468 750,00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1 875 000,00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1 687 500,00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937 500,00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транспортных средств: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150 600,00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301 200,00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451 800,00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753 100,00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903 700,00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1 054 300,00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8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1 204 900,00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9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1 355 500,00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10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1 506 200,00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1 656 800,00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1 807 400,00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1 958 000,00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2 108 600,00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15 и более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2 259 200,00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транспортных средств: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451 800,00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903 700,00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1 355 500,00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1 807 400,00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2 259 200,00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2 711 100,00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 и более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3 000 000,00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Ремонт жилья и других построек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Услуги по производству монтажных, электромонтажных, санитарно-технических и </w:t>
            </w:r>
            <w:r w:rsidRPr="00925E49">
              <w:lastRenderedPageBreak/>
              <w:t>сварочных работ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5 до 9 наемных работников </w:t>
            </w:r>
            <w:r w:rsidRPr="00925E49">
              <w:lastRenderedPageBreak/>
              <w:t>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обучению населения на курсах и по репетиторству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присмотру и уходу за детьми и больными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20.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Ветеринарные услуги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280 500,00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252 450,00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224 400,00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196 350,00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140 250,00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561 000,00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504 900,00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448 800,00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392 700,00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280 500,00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897 600,00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807 840,00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718 080,00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628 320,00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448 800,00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площади: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до 50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753 100,00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677 790,00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602 480,00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527 170,00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376 550,00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50 - 99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1 491 100,00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1 341 990,00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1 192 880,00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1 043 770,00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745 550,00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100 - 199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2 997 200,00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2 697 480,00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2 397 760,00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2 098 040,00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1 498 600,00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200 - 299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4 503 400,00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4 053 060,00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3 602 720,00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3 152 380,00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2 251 700,00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300 - 399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6 009 600,00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5 408 640,00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4 807 680,00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4 206 720,00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3 004 800,00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400 - 499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7 515 700,00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6 764 130,00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6 012 560,00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5 260 990,00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3 757 850,00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500 и более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9 021 900,00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8 119 710,00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7 217 520,00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6 315 330,00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4 510 950,00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Сдача в аренду (наем) жилых помещений, дач, принадлежащих индивидуальному предпринимателю на праве собственности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площади: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до 50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50 - 99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180 000,00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160 000,00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140 000,00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100 - 199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360 000,00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200 - 299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540 000,00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300 - 399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640 000,00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400 - 499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500 и более кв. 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1 080 000,00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960 000,00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Изготовление изделий народных художественных промыслов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proofErr w:type="gramStart"/>
            <w:r w:rsidRPr="00925E49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925E49">
              <w:t>маслосемян</w:t>
            </w:r>
            <w:proofErr w:type="spellEnd"/>
            <w:r w:rsidRPr="00925E49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925E49">
              <w:t xml:space="preserve"> </w:t>
            </w:r>
            <w:proofErr w:type="gramStart"/>
            <w:r w:rsidRPr="00925E49">
              <w:t xml:space="preserve">болезней; изготовление валяной обуви; изготовление сельскохозяйственного инвентаря из материала </w:t>
            </w:r>
            <w:r w:rsidRPr="00925E49">
              <w:lastRenderedPageBreak/>
              <w:t>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925E49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копировально-множительные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Производство и реставрация ковров и ковровых изделий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Ремонт ювелирных изделий, бижутерии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105 400,00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94 860,00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84 320,00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73 780,00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Чеканка и гравировка ювелирных изделий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105 400,00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94 860,00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84 320,00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73 780,00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с привлечением наемных </w:t>
            </w:r>
            <w:r w:rsidRPr="00925E49">
              <w:lastRenderedPageBreak/>
              <w:t>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5 до 9 наемных работников </w:t>
            </w:r>
            <w:r w:rsidRPr="00925E49">
              <w:lastRenderedPageBreak/>
              <w:t>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уборке жилых помещений и ведению домашнего хозяйства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с привлечением наемных работников средней </w:t>
            </w:r>
            <w:r w:rsidRPr="00925E49">
              <w:lastRenderedPageBreak/>
              <w:t>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Проведение занятий по физической культуре и спорту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платных туалетов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Услуги поваров по </w:t>
            </w:r>
            <w:r w:rsidRPr="00925E49">
              <w:lastRenderedPageBreak/>
              <w:t>изготовлению блюд на дому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Оказание услуг по перевозке пассажиров водным транспортом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транспортных средств: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8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9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10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15 и более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Оказание услуг по перевозке грузов водным транспортом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транспортных средств: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8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9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10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15 и более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proofErr w:type="gramStart"/>
            <w:r w:rsidRPr="00925E49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5 до 9 наемных работников </w:t>
            </w:r>
            <w:r w:rsidRPr="00925E49">
              <w:lastRenderedPageBreak/>
              <w:t>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зеленому хозяйству и декоративному цветоводству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без привлечения наемных </w:t>
            </w:r>
            <w:r w:rsidRPr="00925E49">
              <w:lastRenderedPageBreak/>
              <w:t>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Ведение охотничьего хозяйства и осуществление охоты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43.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675 000,00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Осуществление частной детективной деятельности лицом, имеющим лицензию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1 до 4 наемных работников </w:t>
            </w:r>
            <w:r w:rsidRPr="00925E49">
              <w:lastRenderedPageBreak/>
              <w:t>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по прокату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Экскурсионные услуги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Обрядовые услуги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527 200,00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474 480,00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421 760,00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369 040,00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263 600,00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1 054 300,00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948 870,00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843 440,00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738 010,00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527 150,00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1 686 900,00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1 518 210,00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1 349 520,00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1 180 830,00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843 450,00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Ритуальные услуги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527 200,00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474 480,00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421 760,00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369 040,00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263 600,00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1 054 300,00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948 870,00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843 440,00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738 010,00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527 150,00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1 686 900,00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1 518 210,00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1 349 520,00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1 180 830,00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843 450,00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уличных патрулей, охранников, сторожей и вахтеров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Розничная торговля, осуществляемая через объекты стационарной торговой сети с площадью торгового зала не более 50 квадратных метров по </w:t>
            </w:r>
            <w:r w:rsidRPr="00925E49">
              <w:lastRenderedPageBreak/>
              <w:t>каждому объекту организации торговли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обособленных объектов: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745 500,00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670 950,00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596 400,00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521 850,00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372 750,00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1 491 100,00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1 341 990,00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1 192 880,00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1 043 770,00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745 550,00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2 236 600,00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2 012 940,00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1 789 280,00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1 565 620,00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1 118 300,00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2 982 200,00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2 683 980,00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2 385 760,00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2 087 540,00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1 491 100,00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3 727 700,00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3 354 930,00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2 982 160,00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2 609 390,00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1 863 850,00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4 473 300,00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4 025 970,00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3 578 640,00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3 131 310,00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2 236 650,00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 и более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5 218 800,00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4 696 920,00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4 175 040,00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3 653 160,00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2 609 400,00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торговли)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обособленных объектов: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210 100,00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189 090,00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168 080,00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147 070,00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420 200,00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378 180,00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336 160,00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294 140,00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210 100,00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567 270,00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504 240,00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441 210,00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315 150,00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840 400,00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756 360,00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672 320,00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588 280,00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420 200,00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1 050 500,00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945 450,00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840 400,00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735 350,00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525 250,00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1 260 700,00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1 134 630,00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1 008 560,00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882 490,00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630 350,00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 и более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1 470 800,00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1 323 720,00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1 176 640,00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1 029 560,00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735 400,00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торговли)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обособленных объектов: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210 100,00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420 200,00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630 300,00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840 400,00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1 050 500,00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6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1 260 700,00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7 и более</w:t>
            </w:r>
          </w:p>
        </w:tc>
        <w:tc>
          <w:tcPr>
            <w:tcW w:w="9809" w:type="dxa"/>
            <w:gridSpan w:val="5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1 470 800,00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количество обособленных объектов: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1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1 255 100,00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1 129 590,00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1 004 080,00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878 570,00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627 550,00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2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2 510 300,00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2 259 270,00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2 008 240,00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1 757 210,00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1 255 150,00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3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3 765 400,00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3 388 860,00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3 012 320,00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2 635 780,00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1 882 700,00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4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5 020 500,00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4 518 450,00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4 016 400,00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3 514 350,00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2 510 250,00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5 и более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6 275 600,00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5 648 040,00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5 020 480,00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4 392 920,00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3 137 800,00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640 000,00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810 000,00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Оказание услуг по забою, транспортировке, перегонке, выпасу скота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Производство кожи и изделий из кожи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Сбор и заготовка пищевых лесных ресурсов, </w:t>
            </w:r>
            <w:proofErr w:type="spellStart"/>
            <w:r w:rsidRPr="00925E49">
              <w:t>недревесных</w:t>
            </w:r>
            <w:proofErr w:type="spellEnd"/>
            <w:r w:rsidRPr="00925E49">
              <w:t xml:space="preserve"> лесных ресурсов и лекарственных растений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от 10 до 15 наемных </w:t>
            </w:r>
            <w:r w:rsidRPr="00925E49">
              <w:lastRenderedPageBreak/>
              <w:t>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58.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Сушка, переработка и консервирование фруктов и овощей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Производство молочной продукции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60.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61.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Производство хлебобулочных и мучных кондитерских изделий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640 000,00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810 000,00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Товарное и спортивное рыболовство и рыбоводство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Лесоводство и прочая лесохозяйственная деятельность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64.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Деятельность по письменному и устному переводу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lastRenderedPageBreak/>
              <w:t>65.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Деятельность по уходу за престарелыми и инвалидами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66.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Сбор, обработка и утилизация отходов, а также обработка вторичного сырья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67.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Резка, обработка и отделка камня для памятников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135 000,00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75 000,00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68.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490 000,00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 xml:space="preserve">с привлечением наемных работников средней </w:t>
            </w:r>
            <w:r w:rsidRPr="00925E49">
              <w:lastRenderedPageBreak/>
              <w:t>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640 000,00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400 000,00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810 000,00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720 000,00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630 000,00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450 000,00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  <w:tr w:rsidR="00925E49" w:rsidRPr="00925E49">
        <w:tc>
          <w:tcPr>
            <w:tcW w:w="510" w:type="dxa"/>
            <w:vMerge w:val="restart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69.</w:t>
            </w:r>
          </w:p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Ремонт компьютеров и коммуникационного оборудования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без привлечения наемных работников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143 100,00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128 790,00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114 480,00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100 170,00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71 550,00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с привлечением наемных работников средней численностью: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</w:pP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</w:pP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 до 4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281 250,00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250 000,00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218 750,00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156 250,00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5 до 9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625 000,00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562 500,00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437 500,00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312 500,00</w:t>
            </w:r>
          </w:p>
        </w:tc>
      </w:tr>
      <w:tr w:rsidR="00925E49" w:rsidRPr="00925E49">
        <w:tc>
          <w:tcPr>
            <w:tcW w:w="510" w:type="dxa"/>
            <w:vMerge/>
          </w:tcPr>
          <w:p w:rsidR="00925E49" w:rsidRPr="00925E49" w:rsidRDefault="00925E49"/>
        </w:tc>
        <w:tc>
          <w:tcPr>
            <w:tcW w:w="3288" w:type="dxa"/>
          </w:tcPr>
          <w:p w:rsidR="00925E49" w:rsidRPr="00925E49" w:rsidRDefault="00925E49">
            <w:pPr>
              <w:pStyle w:val="ConsPlusNormal"/>
              <w:jc w:val="both"/>
            </w:pPr>
            <w:r w:rsidRPr="00925E49">
              <w:t>от 10 до 15 наемных работников включительно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1 000 000,00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900 000,00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800 000,00</w:t>
            </w:r>
          </w:p>
        </w:tc>
        <w:tc>
          <w:tcPr>
            <w:tcW w:w="3685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700 000,00</w:t>
            </w:r>
          </w:p>
        </w:tc>
        <w:tc>
          <w:tcPr>
            <w:tcW w:w="1531" w:type="dxa"/>
          </w:tcPr>
          <w:p w:rsidR="00925E49" w:rsidRPr="00925E49" w:rsidRDefault="00925E49">
            <w:pPr>
              <w:pStyle w:val="ConsPlusNormal"/>
              <w:jc w:val="center"/>
            </w:pPr>
            <w:r w:rsidRPr="00925E49">
              <w:t>500 000,00</w:t>
            </w:r>
          </w:p>
        </w:tc>
      </w:tr>
    </w:tbl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jc w:val="both"/>
      </w:pPr>
    </w:p>
    <w:p w:rsidR="00925E49" w:rsidRPr="00925E49" w:rsidRDefault="00925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2A83" w:rsidRPr="00925E49" w:rsidRDefault="00D173CE"/>
    <w:sectPr w:rsidR="00DA2A83" w:rsidRPr="00925E49" w:rsidSect="00EE3C8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49"/>
    <w:rsid w:val="00925E49"/>
    <w:rsid w:val="00B6734F"/>
    <w:rsid w:val="00BA7451"/>
    <w:rsid w:val="00CF1474"/>
    <w:rsid w:val="00D173CE"/>
    <w:rsid w:val="00D3183E"/>
    <w:rsid w:val="00E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E49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2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5E49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2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5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5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E49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2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5E49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2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5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5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9793BC0B316AF3CD0F1ABA7B9709B6A0FA8B48C56FBBD83E9DF0C45211EC44FB08D6BD85EE9s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9793BC0B316AF3CD0EFA6B1D52C926B0DF7BE8C5CF6E8D9B684511228149308FFD42F9A5A94CE7126E7EFs5F" TargetMode="External"/><Relationship Id="rId12" Type="http://schemas.openxmlformats.org/officeDocument/2006/relationships/hyperlink" Target="consultantplus://offline/ref=59F9793BC0B316AF3CD0EFA6B1D52C926B0DF7BE8C5CF6E8D9B684511228149308FFD42F9A5A94CE7126E6EFs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9793BC0B316AF3CD0EFA6B1D52C926B0DF7BE8259F6E9DFB684511228149308FFD42F9A5A94CE7126E7EFs5F" TargetMode="External"/><Relationship Id="rId11" Type="http://schemas.openxmlformats.org/officeDocument/2006/relationships/hyperlink" Target="consultantplus://offline/ref=59F9793BC0B316AF3CD0F1ABA7B9709B6A0FA8B48C56FBBD83E9DF0C45211EC44FB08D65D755E9s2F" TargetMode="External"/><Relationship Id="rId5" Type="http://schemas.openxmlformats.org/officeDocument/2006/relationships/hyperlink" Target="consultantplus://offline/ref=59F9793BC0B316AF3CD0EFA6B1D52C926B0DF7BE835BF0EED7B684511228149308FFD42F9A5A94CE7126E7EFs5F" TargetMode="External"/><Relationship Id="rId10" Type="http://schemas.openxmlformats.org/officeDocument/2006/relationships/hyperlink" Target="consultantplus://offline/ref=59F9793BC0B316AF3CD0EFA6B1D52C926B0DF7BE8C56F5EEDAB6845112281493E0s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9793BC0B316AF3CD0EFA6B1D52C926B0DF7BE8C5CF6E8D9B684511228149308FFD42F9A5A94CE7126E7EF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2016-07-06T05:44:00Z</dcterms:created>
  <dcterms:modified xsi:type="dcterms:W3CDTF">2016-07-06T05:46:00Z</dcterms:modified>
</cp:coreProperties>
</file>